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&lt;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Insert Business Logo&gt;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4th December 2018</w:t>
        <w:br w:type="textWrapping"/>
        <w:br w:type="textWrapping"/>
        <w:t xml:space="preserve">Dear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&lt;Employee Name&gt;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ADDRESS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ADDRESS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Dear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&lt;Employee Name&gt;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RE: NOTIFICATION OF CASUAL CONVERSION CLAUSE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accordance with the </w:t>
      </w:r>
      <w:r w:rsidDel="00000000" w:rsidR="00000000" w:rsidRPr="00000000">
        <w:rPr>
          <w:rFonts w:ascii="Calibri" w:cs="Calibri" w:eastAsia="Calibri" w:hAnsi="Calibri"/>
          <w:i w:val="1"/>
          <w:color w:val="9900ff"/>
          <w:sz w:val="24"/>
          <w:szCs w:val="24"/>
          <w:rtl w:val="0"/>
        </w:rPr>
        <w:t xml:space="preserve">Clerks Private Sector Award 2010 / Hair and Beauty Industry Award 2010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&lt;Company Name&gt;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/ XXXXXX is required to provide you with a copy of the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Right to request casual conversion clause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within 12 months of your employment commencing.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find attached a copy of subclause Right to request casual conversion.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Where you meet the definition of a ‘regular casual employee’, you may ask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&lt;Company Name&gt;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/ XXXXX to have your employment converted to full or part-time (whichever is more appropriate in relation to the hours currently being worked).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the clause, a ‘regular casual employee’ is defined as: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 casual employee who has in the preceding period of 12 months worked a pattern of hours on an ongoing basis which, without significant adjustment, the employee could continue to perform as a full-time employee or part-time employee under the provisions of this award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  <w:br w:type="textWrapping"/>
        <w:br w:type="textWrapping"/>
        <w:t xml:space="preserve">Converting from casual employment to full-time or part-time employment will mean a casual leave loading will no longer apply to the hourly rate of pay. However, as a full-time - or part-time employee, you would be entitled to the benefits associated with this type of employment, including paid annual leave and personal leave in accordance with the Award and relevant legislation.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Yours sincerely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&lt;CEO Name&gt;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CEO</w:t>
      </w:r>
    </w:p>
    <w:sectPr>
      <w:headerReference r:id="rId6" w:type="default"/>
      <w:footerReference r:id="rId7" w:type="default"/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center"/>
      <w:rPr>
        <w:rFonts w:ascii="Helvetica Neue" w:cs="Helvetica Neue" w:eastAsia="Helvetica Neue" w:hAnsi="Helvetica Neue"/>
        <w:sz w:val="20"/>
        <w:szCs w:val="20"/>
      </w:rPr>
    </w:pPr>
    <w:r w:rsidDel="00000000" w:rsidR="00000000" w:rsidRPr="00000000">
      <w:rPr>
        <w:rFonts w:ascii="Helvetica Neue" w:cs="Helvetica Neue" w:eastAsia="Helvetica Neue" w:hAnsi="Helvetica Neue"/>
        <w:sz w:val="20"/>
        <w:szCs w:val="20"/>
        <w:rtl w:val="0"/>
      </w:rPr>
      <w:t xml:space="preserve">© Emma Greyson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